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BBD94" w14:textId="3DAECDBB" w:rsidR="00A62D59" w:rsidRPr="00DE68F3" w:rsidRDefault="00DB6862" w:rsidP="00DB6862">
      <w:pPr>
        <w:jc w:val="center"/>
        <w:rPr>
          <w:rFonts w:ascii="Arial" w:hAnsi="Arial" w:cs="Arial"/>
          <w:b/>
          <w:bCs/>
          <w:sz w:val="28"/>
          <w:szCs w:val="28"/>
        </w:rPr>
      </w:pPr>
      <w:r w:rsidRPr="00DE68F3">
        <w:rPr>
          <w:rFonts w:ascii="Arial" w:hAnsi="Arial" w:cs="Arial"/>
          <w:b/>
          <w:bCs/>
          <w:sz w:val="28"/>
          <w:szCs w:val="28"/>
        </w:rPr>
        <w:t xml:space="preserve">GPRA </w:t>
      </w:r>
      <w:r w:rsidR="004E4032">
        <w:rPr>
          <w:rFonts w:ascii="Arial" w:hAnsi="Arial" w:cs="Arial"/>
          <w:b/>
          <w:bCs/>
          <w:sz w:val="28"/>
          <w:szCs w:val="28"/>
        </w:rPr>
        <w:t>Guidance</w:t>
      </w:r>
    </w:p>
    <w:p w14:paraId="5C593FAF" w14:textId="7C4C2541" w:rsidR="00DB6862" w:rsidRPr="00DE68F3" w:rsidRDefault="00DB6862" w:rsidP="00DE68F3">
      <w:pPr>
        <w:spacing w:after="0"/>
        <w:rPr>
          <w:rFonts w:ascii="Arial" w:hAnsi="Arial" w:cs="Arial"/>
          <w:b/>
          <w:bCs/>
        </w:rPr>
      </w:pPr>
      <w:r w:rsidRPr="00DE68F3">
        <w:rPr>
          <w:rFonts w:ascii="Arial" w:hAnsi="Arial" w:cs="Arial"/>
          <w:b/>
          <w:bCs/>
        </w:rPr>
        <w:t>General</w:t>
      </w:r>
    </w:p>
    <w:p w14:paraId="2E44AF3C" w14:textId="02AE503E" w:rsidR="00DB6862" w:rsidRPr="00DE68F3" w:rsidRDefault="00DB6862" w:rsidP="00DB6862">
      <w:pPr>
        <w:pStyle w:val="ListParagraph"/>
        <w:numPr>
          <w:ilvl w:val="0"/>
          <w:numId w:val="7"/>
        </w:numPr>
        <w:spacing w:after="0"/>
        <w:rPr>
          <w:rFonts w:ascii="Arial" w:hAnsi="Arial" w:cs="Arial"/>
        </w:rPr>
      </w:pPr>
      <w:r w:rsidRPr="00DE68F3">
        <w:rPr>
          <w:rFonts w:ascii="Arial" w:hAnsi="Arial" w:cs="Arial"/>
          <w:color w:val="000000"/>
        </w:rPr>
        <w:t>If the grantee is not entering information directly into WITS at the time of the interview, the Grantees should aim to enter their data into WITS within 1 day—but no later than 7 days—after the GPRA interview is conducted.</w:t>
      </w:r>
    </w:p>
    <w:p w14:paraId="31E46517" w14:textId="0A1ED0B1" w:rsidR="00DB6862" w:rsidRPr="00DE68F3" w:rsidRDefault="00DB6862" w:rsidP="00DB6862">
      <w:pPr>
        <w:pStyle w:val="ListParagraph"/>
        <w:numPr>
          <w:ilvl w:val="0"/>
          <w:numId w:val="7"/>
        </w:numPr>
        <w:spacing w:before="240" w:after="0"/>
        <w:rPr>
          <w:rFonts w:ascii="Arial" w:hAnsi="Arial" w:cs="Arial"/>
          <w:color w:val="000000"/>
        </w:rPr>
      </w:pPr>
      <w:r w:rsidRPr="00DE68F3">
        <w:rPr>
          <w:rFonts w:ascii="Arial" w:hAnsi="Arial" w:cs="Arial"/>
          <w:color w:val="000000"/>
        </w:rPr>
        <w:t>Each client should have his/her own unique client ID that is used at all three data collection points (i.e., GPRA intake/baseline, 6 months GPRA post-intake/baseline, GPRA discharge.) The same unique ID is used each time, even if the client has more than one episode of care. For confidentiality reasons, do not use any portion of the client’s date of birth</w:t>
      </w:r>
      <w:r w:rsidR="00C76788">
        <w:rPr>
          <w:rFonts w:ascii="Arial" w:hAnsi="Arial" w:cs="Arial"/>
          <w:color w:val="000000"/>
        </w:rPr>
        <w:t>,</w:t>
      </w:r>
      <w:r w:rsidRPr="00DE68F3">
        <w:rPr>
          <w:rFonts w:ascii="Arial" w:hAnsi="Arial" w:cs="Arial"/>
          <w:color w:val="000000"/>
        </w:rPr>
        <w:t xml:space="preserve"> Social Security Number</w:t>
      </w:r>
      <w:r w:rsidR="00C76788">
        <w:rPr>
          <w:rFonts w:ascii="Arial" w:hAnsi="Arial" w:cs="Arial"/>
          <w:color w:val="000000"/>
        </w:rPr>
        <w:t xml:space="preserve">, </w:t>
      </w:r>
      <w:r w:rsidRPr="00DE68F3">
        <w:rPr>
          <w:rFonts w:ascii="Arial" w:hAnsi="Arial" w:cs="Arial"/>
          <w:color w:val="000000"/>
        </w:rPr>
        <w:t>or mother’s maiden name in the Client ID.</w:t>
      </w:r>
    </w:p>
    <w:p w14:paraId="6401EF56" w14:textId="1E277DE1" w:rsidR="00DB6862" w:rsidRPr="00DE68F3" w:rsidRDefault="00DB6862" w:rsidP="00DB6862">
      <w:pPr>
        <w:pStyle w:val="CM21"/>
        <w:numPr>
          <w:ilvl w:val="0"/>
          <w:numId w:val="7"/>
        </w:numPr>
        <w:spacing w:line="276" w:lineRule="atLeast"/>
        <w:rPr>
          <w:rFonts w:ascii="Arial" w:hAnsi="Arial" w:cs="Arial"/>
          <w:color w:val="000000"/>
          <w:sz w:val="22"/>
          <w:szCs w:val="22"/>
        </w:rPr>
      </w:pPr>
      <w:r w:rsidRPr="00DE68F3">
        <w:rPr>
          <w:rFonts w:ascii="Arial" w:hAnsi="Arial" w:cs="Arial"/>
          <w:color w:val="000000"/>
          <w:sz w:val="22"/>
          <w:szCs w:val="22"/>
        </w:rPr>
        <w:t xml:space="preserve">If a grantee leaves and then comes back, grantees are only required to administer the GPRA baseline one time per client. However, grantees may choose to administer a </w:t>
      </w:r>
      <w:r w:rsidRPr="00DE68F3">
        <w:rPr>
          <w:rFonts w:ascii="Arial" w:hAnsi="Arial" w:cs="Arial"/>
          <w:sz w:val="22"/>
          <w:szCs w:val="22"/>
        </w:rPr>
        <w:t>second (or third, fourth, etc.) baseline GPRA. In this case, the subsequent 6-month follow-up will be required from the latest baseline only.</w:t>
      </w:r>
    </w:p>
    <w:p w14:paraId="103E31BE" w14:textId="78146E4D" w:rsidR="00DB6862" w:rsidRPr="00DE68F3" w:rsidRDefault="00DE68F3" w:rsidP="00DB6862">
      <w:pPr>
        <w:pStyle w:val="ListParagraph"/>
        <w:numPr>
          <w:ilvl w:val="0"/>
          <w:numId w:val="7"/>
        </w:numPr>
        <w:spacing w:after="0"/>
        <w:rPr>
          <w:rFonts w:ascii="Arial" w:hAnsi="Arial" w:cs="Arial"/>
        </w:rPr>
      </w:pPr>
      <w:r w:rsidRPr="00DE68F3">
        <w:rPr>
          <w:rFonts w:ascii="Arial" w:hAnsi="Arial" w:cs="Arial"/>
          <w:color w:val="000000"/>
        </w:rPr>
        <w:t xml:space="preserve">SOR funding can be used for incentives, with a maximum cash value of $30 per interview. The incentives can include items such as food vouchers, transportation vouchers, or phone cards. Incentives are permitted for completion of a </w:t>
      </w:r>
      <w:proofErr w:type="gramStart"/>
      <w:r w:rsidRPr="00DE68F3">
        <w:rPr>
          <w:rFonts w:ascii="Arial" w:hAnsi="Arial" w:cs="Arial"/>
          <w:color w:val="000000"/>
        </w:rPr>
        <w:t>6</w:t>
      </w:r>
      <w:r w:rsidRPr="00DE68F3">
        <w:rPr>
          <w:rFonts w:ascii="Arial" w:hAnsi="Arial" w:cs="Arial"/>
          <w:color w:val="000000"/>
        </w:rPr>
        <w:softHyphen/>
        <w:t>month</w:t>
      </w:r>
      <w:proofErr w:type="gramEnd"/>
      <w:r w:rsidRPr="00DE68F3">
        <w:rPr>
          <w:rFonts w:ascii="Arial" w:hAnsi="Arial" w:cs="Arial"/>
          <w:color w:val="000000"/>
        </w:rPr>
        <w:t xml:space="preserve"> GPRA follow-up interview. For GPRA discharge interviews, the incentive cannot be used for routine discharge interviews; they can only be used when program staff must search for a client who has left the </w:t>
      </w:r>
      <w:proofErr w:type="gramStart"/>
      <w:r w:rsidRPr="00DE68F3">
        <w:rPr>
          <w:rFonts w:ascii="Arial" w:hAnsi="Arial" w:cs="Arial"/>
          <w:color w:val="000000"/>
        </w:rPr>
        <w:t>program</w:t>
      </w:r>
      <w:proofErr w:type="gramEnd"/>
      <w:r w:rsidRPr="00DE68F3">
        <w:rPr>
          <w:rFonts w:ascii="Arial" w:hAnsi="Arial" w:cs="Arial"/>
          <w:color w:val="000000"/>
        </w:rPr>
        <w:t xml:space="preserve"> or a client has dropped out of a program.</w:t>
      </w:r>
    </w:p>
    <w:p w14:paraId="261336AF" w14:textId="785B29A3" w:rsidR="00DB6862" w:rsidRPr="00DE68F3" w:rsidRDefault="00DB6862" w:rsidP="00DE68F3">
      <w:pPr>
        <w:spacing w:before="240" w:after="0"/>
        <w:rPr>
          <w:rFonts w:ascii="Arial" w:hAnsi="Arial" w:cs="Arial"/>
          <w:b/>
          <w:bCs/>
        </w:rPr>
      </w:pPr>
      <w:r w:rsidRPr="00DE68F3">
        <w:rPr>
          <w:rFonts w:ascii="Arial" w:hAnsi="Arial" w:cs="Arial"/>
          <w:b/>
          <w:bCs/>
        </w:rPr>
        <w:t>Intake</w:t>
      </w:r>
    </w:p>
    <w:p w14:paraId="3CD63AF0" w14:textId="6908185D" w:rsidR="00DB6862" w:rsidRPr="00DE68F3" w:rsidRDefault="00DB6862" w:rsidP="00DB6862">
      <w:pPr>
        <w:pStyle w:val="ListParagraph"/>
        <w:numPr>
          <w:ilvl w:val="0"/>
          <w:numId w:val="1"/>
        </w:numPr>
        <w:rPr>
          <w:rFonts w:ascii="Arial" w:hAnsi="Arial" w:cs="Arial"/>
        </w:rPr>
      </w:pPr>
      <w:r w:rsidRPr="00DE68F3">
        <w:rPr>
          <w:rFonts w:ascii="Arial" w:hAnsi="Arial" w:cs="Arial"/>
        </w:rPr>
        <w:t xml:space="preserve">Must be conducted within 4 days of receiving grant </w:t>
      </w:r>
      <w:proofErr w:type="gramStart"/>
      <w:r w:rsidRPr="00DE68F3">
        <w:rPr>
          <w:rFonts w:ascii="Arial" w:hAnsi="Arial" w:cs="Arial"/>
        </w:rPr>
        <w:t>services</w:t>
      </w:r>
      <w:proofErr w:type="gramEnd"/>
    </w:p>
    <w:p w14:paraId="769BA776" w14:textId="42738724" w:rsidR="00DB6862" w:rsidRPr="00DE68F3" w:rsidRDefault="00DB6862" w:rsidP="00DE68F3">
      <w:pPr>
        <w:spacing w:before="240" w:after="0"/>
        <w:rPr>
          <w:rFonts w:ascii="Arial" w:hAnsi="Arial" w:cs="Arial"/>
          <w:b/>
          <w:bCs/>
        </w:rPr>
      </w:pPr>
      <w:r w:rsidRPr="00DE68F3">
        <w:rPr>
          <w:rFonts w:ascii="Arial" w:hAnsi="Arial" w:cs="Arial"/>
          <w:b/>
          <w:bCs/>
        </w:rPr>
        <w:t>6-month follow-up</w:t>
      </w:r>
    </w:p>
    <w:p w14:paraId="0761FE21" w14:textId="55762023" w:rsidR="00DB6862" w:rsidRPr="00DE68F3" w:rsidRDefault="00DB6862" w:rsidP="00DB6862">
      <w:pPr>
        <w:pStyle w:val="ListParagraph"/>
        <w:numPr>
          <w:ilvl w:val="0"/>
          <w:numId w:val="2"/>
        </w:numPr>
        <w:spacing w:after="0" w:line="240" w:lineRule="auto"/>
        <w:contextualSpacing w:val="0"/>
        <w:rPr>
          <w:rFonts w:ascii="Arial" w:hAnsi="Arial" w:cs="Arial"/>
        </w:rPr>
      </w:pPr>
      <w:r w:rsidRPr="00DE68F3">
        <w:rPr>
          <w:rFonts w:ascii="Arial" w:hAnsi="Arial" w:cs="Arial"/>
        </w:rPr>
        <w:t xml:space="preserve">May be completed as early as 5 months and no later than 8 </w:t>
      </w:r>
      <w:proofErr w:type="gramStart"/>
      <w:r w:rsidRPr="00DE68F3">
        <w:rPr>
          <w:rFonts w:ascii="Arial" w:hAnsi="Arial" w:cs="Arial"/>
        </w:rPr>
        <w:t>months</w:t>
      </w:r>
      <w:proofErr w:type="gramEnd"/>
    </w:p>
    <w:p w14:paraId="1EE3067D" w14:textId="77777777" w:rsidR="00DB6862" w:rsidRPr="00DE68F3" w:rsidRDefault="00DB6862" w:rsidP="00DB6862">
      <w:pPr>
        <w:pStyle w:val="ListParagraph"/>
        <w:numPr>
          <w:ilvl w:val="0"/>
          <w:numId w:val="2"/>
        </w:numPr>
        <w:spacing w:after="0" w:line="240" w:lineRule="auto"/>
        <w:contextualSpacing w:val="0"/>
        <w:rPr>
          <w:rFonts w:ascii="Arial" w:hAnsi="Arial" w:cs="Arial"/>
        </w:rPr>
      </w:pPr>
      <w:r w:rsidRPr="00DE68F3">
        <w:rPr>
          <w:rFonts w:ascii="Arial" w:hAnsi="Arial" w:cs="Arial"/>
        </w:rPr>
        <w:t xml:space="preserve">Must be completed for all clients even if they are discharged prior to month </w:t>
      </w:r>
      <w:proofErr w:type="gramStart"/>
      <w:r w:rsidRPr="00DE68F3">
        <w:rPr>
          <w:rFonts w:ascii="Arial" w:hAnsi="Arial" w:cs="Arial"/>
        </w:rPr>
        <w:t>5</w:t>
      </w:r>
      <w:proofErr w:type="gramEnd"/>
      <w:r w:rsidRPr="00DE68F3">
        <w:rPr>
          <w:rFonts w:ascii="Arial" w:hAnsi="Arial" w:cs="Arial"/>
        </w:rPr>
        <w:t xml:space="preserve"> </w:t>
      </w:r>
    </w:p>
    <w:p w14:paraId="555EFC66" w14:textId="1BD25508" w:rsidR="00DB6862" w:rsidRPr="00DE68F3" w:rsidRDefault="00DB6862" w:rsidP="00DB6862">
      <w:pPr>
        <w:pStyle w:val="ListParagraph"/>
        <w:numPr>
          <w:ilvl w:val="0"/>
          <w:numId w:val="2"/>
        </w:numPr>
        <w:spacing w:after="0" w:line="240" w:lineRule="auto"/>
        <w:contextualSpacing w:val="0"/>
        <w:rPr>
          <w:rFonts w:ascii="Arial" w:hAnsi="Arial" w:cs="Arial"/>
        </w:rPr>
      </w:pPr>
      <w:r w:rsidRPr="00DE68F3">
        <w:rPr>
          <w:rFonts w:ascii="Arial" w:hAnsi="Arial" w:cs="Arial"/>
        </w:rPr>
        <w:t xml:space="preserve">If </w:t>
      </w:r>
      <w:r w:rsidR="00C76788">
        <w:rPr>
          <w:rFonts w:ascii="Arial" w:hAnsi="Arial" w:cs="Arial"/>
        </w:rPr>
        <w:t>d</w:t>
      </w:r>
      <w:r w:rsidRPr="00DE68F3">
        <w:rPr>
          <w:rFonts w:ascii="Arial" w:hAnsi="Arial" w:cs="Arial"/>
        </w:rPr>
        <w:t>ischarge occurs during same time as</w:t>
      </w:r>
      <w:r w:rsidR="00C76788">
        <w:rPr>
          <w:rFonts w:ascii="Arial" w:hAnsi="Arial" w:cs="Arial"/>
        </w:rPr>
        <w:t xml:space="preserve"> a</w:t>
      </w:r>
      <w:r w:rsidRPr="00DE68F3">
        <w:rPr>
          <w:rFonts w:ascii="Arial" w:hAnsi="Arial" w:cs="Arial"/>
        </w:rPr>
        <w:t xml:space="preserve"> 6-Month Interview is due, complete one interview with the clients but enter the data into 2 different GPRA forms (one for the 6-Month interview and one for the Discharge interview)</w:t>
      </w:r>
    </w:p>
    <w:p w14:paraId="65143BE7" w14:textId="53CF5F8A" w:rsidR="00DB6862" w:rsidRPr="00DE68F3" w:rsidRDefault="00DB6862" w:rsidP="00DE68F3">
      <w:pPr>
        <w:spacing w:before="240" w:after="0"/>
        <w:rPr>
          <w:rFonts w:ascii="Arial" w:hAnsi="Arial" w:cs="Arial"/>
          <w:b/>
          <w:bCs/>
        </w:rPr>
      </w:pPr>
      <w:r w:rsidRPr="00DE68F3">
        <w:rPr>
          <w:rFonts w:ascii="Arial" w:hAnsi="Arial" w:cs="Arial"/>
          <w:b/>
          <w:bCs/>
        </w:rPr>
        <w:t>Discharge</w:t>
      </w:r>
    </w:p>
    <w:p w14:paraId="369F2AA5" w14:textId="2F318D85" w:rsidR="00DB6862" w:rsidRPr="00DE68F3" w:rsidRDefault="00DB6862" w:rsidP="00DB6862">
      <w:pPr>
        <w:pStyle w:val="ListParagraph"/>
        <w:numPr>
          <w:ilvl w:val="0"/>
          <w:numId w:val="2"/>
        </w:numPr>
        <w:spacing w:after="0" w:line="240" w:lineRule="auto"/>
        <w:contextualSpacing w:val="0"/>
        <w:rPr>
          <w:rFonts w:ascii="Arial" w:hAnsi="Arial" w:cs="Arial"/>
        </w:rPr>
      </w:pPr>
      <w:r w:rsidRPr="00DE68F3">
        <w:rPr>
          <w:rFonts w:ascii="Arial" w:hAnsi="Arial" w:cs="Arial"/>
        </w:rPr>
        <w:t>If client presents on day of discharge, administer that day. If client drops out or leaves, client needs to be found for in-person interview within 14 days. If not found by day 15, complete Administrative Discharge</w:t>
      </w:r>
    </w:p>
    <w:p w14:paraId="1333C659" w14:textId="6C14DDE1" w:rsidR="00DB6862" w:rsidRPr="00DE68F3" w:rsidRDefault="00DB6862" w:rsidP="00DB6862">
      <w:pPr>
        <w:pStyle w:val="ListParagraph"/>
        <w:numPr>
          <w:ilvl w:val="0"/>
          <w:numId w:val="2"/>
        </w:numPr>
        <w:spacing w:after="0" w:line="240" w:lineRule="auto"/>
        <w:contextualSpacing w:val="0"/>
        <w:rPr>
          <w:rFonts w:ascii="Arial" w:hAnsi="Arial" w:cs="Arial"/>
        </w:rPr>
      </w:pPr>
      <w:r w:rsidRPr="00DE68F3">
        <w:rPr>
          <w:rFonts w:ascii="Arial" w:hAnsi="Arial" w:cs="Arial"/>
        </w:rPr>
        <w:t xml:space="preserve">If client is discharged less than or equal to 7 days from Intake, a full Discharge GPRA is not required. Complete an Administrative Discharge </w:t>
      </w:r>
      <w:proofErr w:type="gramStart"/>
      <w:r w:rsidRPr="00DE68F3">
        <w:rPr>
          <w:rFonts w:ascii="Arial" w:hAnsi="Arial" w:cs="Arial"/>
        </w:rPr>
        <w:t>instead</w:t>
      </w:r>
      <w:proofErr w:type="gramEnd"/>
    </w:p>
    <w:p w14:paraId="0F5D2B5C" w14:textId="77777777" w:rsidR="00DB6862" w:rsidRPr="00DE68F3" w:rsidRDefault="00DB6862" w:rsidP="00DB6862">
      <w:pPr>
        <w:pStyle w:val="ListParagraph"/>
        <w:numPr>
          <w:ilvl w:val="0"/>
          <w:numId w:val="2"/>
        </w:numPr>
        <w:rPr>
          <w:rFonts w:ascii="Arial" w:hAnsi="Arial" w:cs="Arial"/>
        </w:rPr>
      </w:pPr>
      <w:r w:rsidRPr="00DE68F3">
        <w:rPr>
          <w:rFonts w:ascii="Arial" w:hAnsi="Arial" w:cs="Arial"/>
        </w:rPr>
        <w:t>It is a requirement to submit a GPRA discharge record for every client. The only exception to this rule is when the client is still in the program after the grant ends.</w:t>
      </w:r>
    </w:p>
    <w:p w14:paraId="07B0656B" w14:textId="014C48B7" w:rsidR="00DB6862" w:rsidRPr="00DE68F3" w:rsidRDefault="00DB6862" w:rsidP="00DE68F3">
      <w:pPr>
        <w:spacing w:after="0"/>
        <w:rPr>
          <w:rFonts w:ascii="Arial" w:hAnsi="Arial" w:cs="Arial"/>
          <w:b/>
          <w:bCs/>
        </w:rPr>
      </w:pPr>
      <w:r w:rsidRPr="00DE68F3">
        <w:rPr>
          <w:rFonts w:ascii="Arial" w:hAnsi="Arial" w:cs="Arial"/>
          <w:b/>
          <w:bCs/>
        </w:rPr>
        <w:t>Administrative Discharge</w:t>
      </w:r>
    </w:p>
    <w:p w14:paraId="152F77B1" w14:textId="77777777" w:rsidR="00DB6862" w:rsidRPr="00DE68F3" w:rsidRDefault="00DB6862" w:rsidP="00DB6862">
      <w:pPr>
        <w:pStyle w:val="ListParagraph"/>
        <w:numPr>
          <w:ilvl w:val="0"/>
          <w:numId w:val="6"/>
        </w:numPr>
        <w:spacing w:after="0" w:line="240" w:lineRule="auto"/>
        <w:contextualSpacing w:val="0"/>
        <w:rPr>
          <w:rFonts w:ascii="Arial" w:hAnsi="Arial" w:cs="Arial"/>
        </w:rPr>
      </w:pPr>
      <w:r w:rsidRPr="00DE68F3">
        <w:rPr>
          <w:rFonts w:ascii="Arial" w:hAnsi="Arial" w:cs="Arial"/>
        </w:rPr>
        <w:t>Complete Sections A (Record Management; mark that the interview was not completed); J (Discharge), and K (Services Received)</w:t>
      </w:r>
    </w:p>
    <w:p w14:paraId="3015A44C" w14:textId="77777777" w:rsidR="00DB6862" w:rsidRPr="00DE68F3" w:rsidRDefault="00DB6862" w:rsidP="00DE68F3">
      <w:pPr>
        <w:spacing w:before="240" w:after="0" w:line="240" w:lineRule="auto"/>
        <w:rPr>
          <w:rFonts w:ascii="Arial" w:hAnsi="Arial" w:cs="Arial"/>
          <w:b/>
          <w:bCs/>
        </w:rPr>
      </w:pPr>
      <w:r w:rsidRPr="00DE68F3">
        <w:rPr>
          <w:rFonts w:ascii="Arial" w:hAnsi="Arial" w:cs="Arial"/>
          <w:b/>
          <w:bCs/>
        </w:rPr>
        <w:t>Social Security Number</w:t>
      </w:r>
    </w:p>
    <w:p w14:paraId="72E25A85" w14:textId="77E26A25" w:rsidR="00DB6862" w:rsidRPr="00DE68F3" w:rsidRDefault="00DB6862" w:rsidP="00DB6862">
      <w:pPr>
        <w:pStyle w:val="ListParagraph"/>
        <w:numPr>
          <w:ilvl w:val="0"/>
          <w:numId w:val="6"/>
        </w:numPr>
        <w:spacing w:after="0" w:line="240" w:lineRule="auto"/>
        <w:contextualSpacing w:val="0"/>
        <w:rPr>
          <w:rFonts w:ascii="Arial" w:hAnsi="Arial" w:cs="Arial"/>
        </w:rPr>
      </w:pPr>
      <w:r w:rsidRPr="00DE68F3">
        <w:rPr>
          <w:rFonts w:ascii="Arial" w:hAnsi="Arial" w:cs="Arial"/>
        </w:rPr>
        <w:t>The system is picky and wants the same number every time. You can enter 0’s followed by the client ID number; that is an easy system that everyone can use.</w:t>
      </w:r>
    </w:p>
    <w:sectPr w:rsidR="00DB6862" w:rsidRPr="00DE68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PHVFV+TimesNewRomanPSM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2762F"/>
    <w:multiLevelType w:val="hybridMultilevel"/>
    <w:tmpl w:val="2D80F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A2F22E3"/>
    <w:multiLevelType w:val="hybridMultilevel"/>
    <w:tmpl w:val="BAE6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C74BC8"/>
    <w:multiLevelType w:val="hybridMultilevel"/>
    <w:tmpl w:val="1BDAC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286A43"/>
    <w:multiLevelType w:val="hybridMultilevel"/>
    <w:tmpl w:val="8FDA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649A7"/>
    <w:multiLevelType w:val="hybridMultilevel"/>
    <w:tmpl w:val="B612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586954"/>
    <w:multiLevelType w:val="hybridMultilevel"/>
    <w:tmpl w:val="C122C9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70C5A14"/>
    <w:multiLevelType w:val="hybridMultilevel"/>
    <w:tmpl w:val="15D4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224866">
    <w:abstractNumId w:val="1"/>
  </w:num>
  <w:num w:numId="2" w16cid:durableId="1463576026">
    <w:abstractNumId w:val="0"/>
  </w:num>
  <w:num w:numId="3" w16cid:durableId="934750882">
    <w:abstractNumId w:val="0"/>
  </w:num>
  <w:num w:numId="4" w16cid:durableId="421217219">
    <w:abstractNumId w:val="2"/>
  </w:num>
  <w:num w:numId="5" w16cid:durableId="135807122">
    <w:abstractNumId w:val="4"/>
  </w:num>
  <w:num w:numId="6" w16cid:durableId="138813526">
    <w:abstractNumId w:val="5"/>
  </w:num>
  <w:num w:numId="7" w16cid:durableId="1735883986">
    <w:abstractNumId w:val="3"/>
  </w:num>
  <w:num w:numId="8" w16cid:durableId="12562128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62"/>
    <w:rsid w:val="001928DE"/>
    <w:rsid w:val="004E4032"/>
    <w:rsid w:val="0077692B"/>
    <w:rsid w:val="00C76788"/>
    <w:rsid w:val="00DB6862"/>
    <w:rsid w:val="00DE6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23617"/>
  <w15:chartTrackingRefBased/>
  <w15:docId w15:val="{07D92651-C208-4085-A006-8EB0F2FF6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6862"/>
    <w:pPr>
      <w:ind w:left="720"/>
      <w:contextualSpacing/>
    </w:pPr>
  </w:style>
  <w:style w:type="paragraph" w:customStyle="1" w:styleId="CM21">
    <w:name w:val="CM21"/>
    <w:basedOn w:val="Normal"/>
    <w:next w:val="Normal"/>
    <w:uiPriority w:val="99"/>
    <w:rsid w:val="00DB6862"/>
    <w:pPr>
      <w:autoSpaceDE w:val="0"/>
      <w:autoSpaceDN w:val="0"/>
      <w:adjustRightInd w:val="0"/>
      <w:spacing w:after="0" w:line="240" w:lineRule="auto"/>
    </w:pPr>
    <w:rPr>
      <w:rFonts w:ascii="FPHVFV+TimesNewRomanPSMT" w:hAnsi="FPHVFV+TimesNewRomanPSM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689063">
      <w:bodyDiv w:val="1"/>
      <w:marLeft w:val="0"/>
      <w:marRight w:val="0"/>
      <w:marTop w:val="0"/>
      <w:marBottom w:val="0"/>
      <w:divBdr>
        <w:top w:val="none" w:sz="0" w:space="0" w:color="auto"/>
        <w:left w:val="none" w:sz="0" w:space="0" w:color="auto"/>
        <w:bottom w:val="none" w:sz="0" w:space="0" w:color="auto"/>
        <w:right w:val="none" w:sz="0" w:space="0" w:color="auto"/>
      </w:divBdr>
    </w:div>
    <w:div w:id="733703295">
      <w:bodyDiv w:val="1"/>
      <w:marLeft w:val="0"/>
      <w:marRight w:val="0"/>
      <w:marTop w:val="0"/>
      <w:marBottom w:val="0"/>
      <w:divBdr>
        <w:top w:val="none" w:sz="0" w:space="0" w:color="auto"/>
        <w:left w:val="none" w:sz="0" w:space="0" w:color="auto"/>
        <w:bottom w:val="none" w:sz="0" w:space="0" w:color="auto"/>
        <w:right w:val="none" w:sz="0" w:space="0" w:color="auto"/>
      </w:divBdr>
    </w:div>
    <w:div w:id="1165432993">
      <w:bodyDiv w:val="1"/>
      <w:marLeft w:val="0"/>
      <w:marRight w:val="0"/>
      <w:marTop w:val="0"/>
      <w:marBottom w:val="0"/>
      <w:divBdr>
        <w:top w:val="none" w:sz="0" w:space="0" w:color="auto"/>
        <w:left w:val="none" w:sz="0" w:space="0" w:color="auto"/>
        <w:bottom w:val="none" w:sz="0" w:space="0" w:color="auto"/>
        <w:right w:val="none" w:sz="0" w:space="0" w:color="auto"/>
      </w:divBdr>
    </w:div>
    <w:div w:id="134789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 Amy</dc:creator>
  <cp:keywords/>
  <dc:description/>
  <cp:lastModifiedBy>Lies, Amy</cp:lastModifiedBy>
  <cp:revision>3</cp:revision>
  <dcterms:created xsi:type="dcterms:W3CDTF">2023-11-22T20:20:00Z</dcterms:created>
  <dcterms:modified xsi:type="dcterms:W3CDTF">2023-11-28T18:16:00Z</dcterms:modified>
</cp:coreProperties>
</file>