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9B6A" w14:textId="7D597061" w:rsidR="00973191" w:rsidRPr="009B5B04" w:rsidRDefault="00A534E8">
      <w:pPr>
        <w:pStyle w:val="Heading1"/>
        <w:spacing w:before="63"/>
        <w:ind w:right="159"/>
        <w:jc w:val="right"/>
        <w:rPr>
          <w:sz w:val="20"/>
          <w:szCs w:val="20"/>
        </w:rPr>
      </w:pPr>
      <w:r w:rsidRPr="009B5B04">
        <w:rPr>
          <w:rFonts w:ascii="Bookman Old Style"/>
          <w:b w:val="0"/>
          <w:noProof/>
          <w:sz w:val="20"/>
          <w:szCs w:val="20"/>
        </w:rPr>
        <w:drawing>
          <wp:anchor distT="0" distB="0" distL="114300" distR="114300" simplePos="0" relativeHeight="251653120" behindDoc="1" locked="0" layoutInCell="1" allowOverlap="1" wp14:anchorId="0C37B456" wp14:editId="500DF95E">
            <wp:simplePos x="0" y="0"/>
            <wp:positionH relativeFrom="column">
              <wp:posOffset>-1177925</wp:posOffset>
            </wp:positionH>
            <wp:positionV relativeFrom="paragraph">
              <wp:posOffset>-825500</wp:posOffset>
            </wp:positionV>
            <wp:extent cx="3833946" cy="2962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CHO_PH_2C_custom1Logo2.tif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3946" cy="2962910"/>
                    </a:xfrm>
                    <a:prstGeom prst="rect">
                      <a:avLst/>
                    </a:prstGeom>
                  </pic:spPr>
                </pic:pic>
              </a:graphicData>
            </a:graphic>
            <wp14:sizeRelH relativeFrom="margin">
              <wp14:pctWidth>0</wp14:pctWidth>
            </wp14:sizeRelH>
            <wp14:sizeRelV relativeFrom="margin">
              <wp14:pctHeight>0</wp14:pctHeight>
            </wp14:sizeRelV>
          </wp:anchor>
        </w:drawing>
      </w:r>
      <w:r w:rsidR="00AE74CC">
        <w:rPr>
          <w:color w:val="1C365E"/>
          <w:sz w:val="20"/>
          <w:szCs w:val="20"/>
        </w:rPr>
        <w:t>Ashley Horner</w:t>
      </w:r>
      <w:r w:rsidR="00545580" w:rsidRPr="009B5B04">
        <w:rPr>
          <w:color w:val="1C365E"/>
          <w:sz w:val="20"/>
          <w:szCs w:val="20"/>
        </w:rPr>
        <w:t>, M.D.</w:t>
      </w:r>
    </w:p>
    <w:p w14:paraId="28590A4D" w14:textId="77777777" w:rsidR="00973191" w:rsidRPr="009B5B04" w:rsidRDefault="00545580">
      <w:pPr>
        <w:spacing w:before="21"/>
        <w:ind w:right="146"/>
        <w:jc w:val="right"/>
        <w:rPr>
          <w:rFonts w:ascii="Helvetica"/>
          <w:i/>
          <w:sz w:val="20"/>
          <w:szCs w:val="20"/>
        </w:rPr>
      </w:pPr>
      <w:r w:rsidRPr="009B5B04">
        <w:rPr>
          <w:rFonts w:ascii="Helvetica"/>
          <w:i/>
          <w:color w:val="1C365E"/>
          <w:sz w:val="20"/>
          <w:szCs w:val="20"/>
        </w:rPr>
        <w:t>Health Officer</w:t>
      </w:r>
    </w:p>
    <w:p w14:paraId="7AECFFD0" w14:textId="77777777" w:rsidR="00973191" w:rsidRPr="009B5B04" w:rsidRDefault="00545580">
      <w:pPr>
        <w:spacing w:before="131"/>
        <w:ind w:right="146"/>
        <w:jc w:val="right"/>
        <w:rPr>
          <w:rFonts w:ascii="Helvetica"/>
          <w:b/>
          <w:sz w:val="20"/>
          <w:szCs w:val="20"/>
        </w:rPr>
      </w:pPr>
      <w:r w:rsidRPr="009B5B04">
        <w:rPr>
          <w:b/>
          <w:color w:val="1C365E"/>
          <w:sz w:val="20"/>
          <w:szCs w:val="20"/>
        </w:rPr>
        <w:t>T</w:t>
      </w:r>
      <w:r w:rsidRPr="009B5B04">
        <w:rPr>
          <w:rFonts w:ascii="Helvetica"/>
          <w:b/>
          <w:color w:val="1C365E"/>
          <w:sz w:val="20"/>
          <w:szCs w:val="20"/>
        </w:rPr>
        <w:t>heresa Will, R.N, M.P.H.</w:t>
      </w:r>
    </w:p>
    <w:p w14:paraId="711ED894" w14:textId="01D06FBE" w:rsidR="00973191" w:rsidRPr="009B5B04" w:rsidRDefault="006B1A51">
      <w:pPr>
        <w:spacing w:before="65"/>
        <w:ind w:right="146"/>
        <w:jc w:val="right"/>
        <w:rPr>
          <w:rFonts w:ascii="Helvetica"/>
          <w:i/>
          <w:sz w:val="20"/>
          <w:szCs w:val="20"/>
        </w:rPr>
      </w:pPr>
      <w:r>
        <w:rPr>
          <w:rFonts w:ascii="Helvetica"/>
          <w:i/>
          <w:color w:val="1C365E"/>
          <w:sz w:val="20"/>
          <w:szCs w:val="20"/>
        </w:rPr>
        <w:t>Administra</w:t>
      </w:r>
      <w:r w:rsidR="00545580" w:rsidRPr="009B5B04">
        <w:rPr>
          <w:rFonts w:ascii="Helvetica"/>
          <w:i/>
          <w:color w:val="1C365E"/>
          <w:sz w:val="20"/>
          <w:szCs w:val="20"/>
        </w:rPr>
        <w:t>tor</w:t>
      </w:r>
    </w:p>
    <w:p w14:paraId="47679615" w14:textId="77777777" w:rsidR="00973191" w:rsidRPr="009B5B04" w:rsidRDefault="00973191">
      <w:pPr>
        <w:pStyle w:val="BodyText"/>
        <w:spacing w:before="3"/>
        <w:rPr>
          <w:rFonts w:ascii="Helvetica"/>
          <w:i/>
          <w:sz w:val="20"/>
          <w:szCs w:val="20"/>
        </w:rPr>
      </w:pPr>
    </w:p>
    <w:p w14:paraId="6BF58841" w14:textId="77777777" w:rsidR="00973191" w:rsidRPr="009B5B04" w:rsidRDefault="00973191">
      <w:pPr>
        <w:pStyle w:val="BodyText"/>
        <w:spacing w:line="20" w:lineRule="exact"/>
        <w:ind w:left="110"/>
        <w:rPr>
          <w:rFonts w:ascii="Helvetica"/>
          <w:sz w:val="20"/>
          <w:szCs w:val="20"/>
        </w:rPr>
      </w:pPr>
    </w:p>
    <w:p w14:paraId="457923A5" w14:textId="77777777" w:rsidR="00973191" w:rsidRPr="009B5B04" w:rsidRDefault="00973191">
      <w:pPr>
        <w:spacing w:line="20" w:lineRule="exact"/>
        <w:rPr>
          <w:rFonts w:ascii="Helvetica"/>
          <w:sz w:val="20"/>
          <w:szCs w:val="20"/>
        </w:rPr>
        <w:sectPr w:rsidR="00973191" w:rsidRPr="009B5B04" w:rsidSect="00545580">
          <w:type w:val="continuous"/>
          <w:pgSz w:w="12240" w:h="15840"/>
          <w:pgMar w:top="990" w:right="840" w:bottom="280" w:left="1240" w:header="720" w:footer="720" w:gutter="0"/>
          <w:cols w:space="720"/>
        </w:sectPr>
      </w:pPr>
    </w:p>
    <w:p w14:paraId="5359387F" w14:textId="77777777" w:rsidR="00973191" w:rsidRPr="009B5B04" w:rsidRDefault="00973191">
      <w:pPr>
        <w:pStyle w:val="BodyText"/>
        <w:rPr>
          <w:rFonts w:ascii="Bookman Old Style"/>
          <w:b/>
          <w:sz w:val="20"/>
          <w:szCs w:val="20"/>
        </w:rPr>
      </w:pPr>
    </w:p>
    <w:p w14:paraId="20D94BE3" w14:textId="77777777" w:rsidR="00973191" w:rsidRPr="009B5B04" w:rsidRDefault="00973191">
      <w:pPr>
        <w:pStyle w:val="BodyText"/>
        <w:rPr>
          <w:rFonts w:ascii="Bookman Old Style"/>
          <w:b/>
          <w:sz w:val="20"/>
          <w:szCs w:val="20"/>
        </w:rPr>
      </w:pPr>
    </w:p>
    <w:p w14:paraId="4B40FE95" w14:textId="77777777" w:rsidR="00973191" w:rsidRPr="009B5B04" w:rsidRDefault="00973191">
      <w:pPr>
        <w:pStyle w:val="BodyText"/>
        <w:rPr>
          <w:rFonts w:ascii="Bookman Old Style"/>
          <w:b/>
          <w:sz w:val="20"/>
          <w:szCs w:val="20"/>
        </w:rPr>
      </w:pPr>
    </w:p>
    <w:p w14:paraId="17738009" w14:textId="77777777" w:rsidR="00A534E8" w:rsidRPr="009B5B04" w:rsidRDefault="00A534E8">
      <w:pPr>
        <w:pStyle w:val="BodyText"/>
        <w:spacing w:before="95"/>
        <w:ind w:left="195"/>
        <w:rPr>
          <w:color w:val="231F20"/>
          <w:sz w:val="20"/>
          <w:szCs w:val="20"/>
        </w:rPr>
      </w:pPr>
    </w:p>
    <w:p w14:paraId="45038DF2" w14:textId="77777777" w:rsidR="00973191" w:rsidRPr="009B5B04" w:rsidRDefault="00973191">
      <w:pPr>
        <w:pStyle w:val="BodyText"/>
        <w:rPr>
          <w:sz w:val="20"/>
          <w:szCs w:val="20"/>
        </w:rPr>
      </w:pPr>
    </w:p>
    <w:p w14:paraId="34694AFE" w14:textId="345B75C2" w:rsidR="00973191" w:rsidRPr="009B5B04" w:rsidRDefault="00545580" w:rsidP="009B5B04">
      <w:pPr>
        <w:pStyle w:val="Heading1"/>
        <w:spacing w:before="1" w:line="242" w:lineRule="auto"/>
        <w:ind w:left="1350" w:right="-82" w:hanging="180"/>
        <w:rPr>
          <w:sz w:val="20"/>
          <w:szCs w:val="20"/>
        </w:rPr>
      </w:pPr>
      <w:r w:rsidRPr="009B5B04">
        <w:rPr>
          <w:b w:val="0"/>
          <w:sz w:val="20"/>
          <w:szCs w:val="20"/>
        </w:rPr>
        <w:br w:type="column"/>
      </w:r>
      <w:r w:rsidRPr="009B5B04">
        <w:rPr>
          <w:color w:val="1C365E"/>
          <w:sz w:val="20"/>
          <w:szCs w:val="20"/>
        </w:rPr>
        <w:t>415 2nd Avenue NE, Ste 101 Valley City, ND 58072-30</w:t>
      </w:r>
      <w:r w:rsidR="009574B0">
        <w:rPr>
          <w:color w:val="1C365E"/>
          <w:sz w:val="20"/>
          <w:szCs w:val="20"/>
        </w:rPr>
        <w:t>60</w:t>
      </w:r>
    </w:p>
    <w:p w14:paraId="466EB017" w14:textId="77777777" w:rsidR="00973191" w:rsidRPr="009B5B04" w:rsidRDefault="00545580" w:rsidP="009B5B04">
      <w:pPr>
        <w:tabs>
          <w:tab w:val="left" w:pos="3870"/>
        </w:tabs>
        <w:spacing w:line="243" w:lineRule="exact"/>
        <w:ind w:left="270" w:right="8" w:firstLine="270"/>
        <w:rPr>
          <w:rFonts w:ascii="Helvetica" w:hAnsi="Helvetica"/>
          <w:b/>
          <w:sz w:val="20"/>
          <w:szCs w:val="20"/>
        </w:rPr>
      </w:pPr>
      <w:r w:rsidRPr="009B5B04">
        <w:rPr>
          <w:rFonts w:ascii="Helvetica" w:hAnsi="Helvetica"/>
          <w:b/>
          <w:color w:val="1C365E"/>
          <w:sz w:val="20"/>
          <w:szCs w:val="20"/>
        </w:rPr>
        <w:t>(701) 845-8518 • Fax (701) 845-8542</w:t>
      </w:r>
    </w:p>
    <w:p w14:paraId="1F663694" w14:textId="77777777" w:rsidR="00973191" w:rsidRPr="009B5B04" w:rsidRDefault="000126B2" w:rsidP="009B5B04">
      <w:pPr>
        <w:spacing w:before="3"/>
        <w:ind w:left="1260" w:firstLine="90"/>
        <w:rPr>
          <w:rFonts w:ascii="Helvetica"/>
          <w:b/>
          <w:sz w:val="20"/>
          <w:szCs w:val="20"/>
        </w:rPr>
        <w:sectPr w:rsidR="00973191" w:rsidRPr="009B5B04" w:rsidSect="009B5B04">
          <w:type w:val="continuous"/>
          <w:pgSz w:w="12240" w:h="15840"/>
          <w:pgMar w:top="1180" w:right="540" w:bottom="280" w:left="1240" w:header="720" w:footer="720" w:gutter="0"/>
          <w:cols w:num="2" w:space="720" w:equalWidth="0">
            <w:col w:w="2214" w:space="3978"/>
            <w:col w:w="3968"/>
          </w:cols>
        </w:sectPr>
      </w:pPr>
      <w:hyperlink r:id="rId6">
        <w:r w:rsidR="00545580" w:rsidRPr="009B5B04">
          <w:rPr>
            <w:rFonts w:ascii="Helvetica"/>
            <w:b/>
            <w:color w:val="1C365E"/>
            <w:sz w:val="20"/>
            <w:szCs w:val="20"/>
          </w:rPr>
          <w:t>www.citycountyhealth.org</w:t>
        </w:r>
      </w:hyperlink>
    </w:p>
    <w:p w14:paraId="2F488589" w14:textId="5D3625E5" w:rsidR="00B17760" w:rsidRDefault="00AE74CC" w:rsidP="00B17760">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BARNES COUNTY OPIOID SETTLEMENT ALLOCATION PLAN</w:t>
      </w:r>
    </w:p>
    <w:p w14:paraId="4C98FE35" w14:textId="39775D38" w:rsidR="00AE74CC" w:rsidRDefault="00AE74CC" w:rsidP="00B17760">
      <w:pPr>
        <w:widowControl/>
        <w:autoSpaceDE/>
        <w:autoSpaceDN/>
        <w:rPr>
          <w:rFonts w:asciiTheme="minorHAnsi" w:eastAsia="Times New Roman" w:hAnsiTheme="minorHAnsi" w:cs="Times New Roman"/>
          <w:color w:val="333333"/>
          <w:sz w:val="24"/>
          <w:szCs w:val="24"/>
        </w:rPr>
      </w:pPr>
    </w:p>
    <w:p w14:paraId="36CB7100" w14:textId="0AB5C6DD" w:rsidR="00AE74CC" w:rsidRDefault="00AE74CC" w:rsidP="00B17760">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Since 2016, City-County Health District </w:t>
      </w:r>
      <w:r w:rsidR="00545F1E">
        <w:rPr>
          <w:rFonts w:asciiTheme="minorHAnsi" w:eastAsia="Times New Roman" w:hAnsiTheme="minorHAnsi" w:cs="Times New Roman"/>
          <w:color w:val="333333"/>
          <w:sz w:val="24"/>
          <w:szCs w:val="24"/>
        </w:rPr>
        <w:t xml:space="preserve">(CCHD) </w:t>
      </w:r>
      <w:r>
        <w:rPr>
          <w:rFonts w:asciiTheme="minorHAnsi" w:eastAsia="Times New Roman" w:hAnsiTheme="minorHAnsi" w:cs="Times New Roman"/>
          <w:color w:val="333333"/>
          <w:sz w:val="24"/>
          <w:szCs w:val="24"/>
        </w:rPr>
        <w:t xml:space="preserve">has been providing </w:t>
      </w:r>
      <w:r w:rsidR="00876EF3">
        <w:rPr>
          <w:rFonts w:asciiTheme="minorHAnsi" w:eastAsia="Times New Roman" w:hAnsiTheme="minorHAnsi" w:cs="Times New Roman"/>
          <w:color w:val="333333"/>
          <w:sz w:val="24"/>
          <w:szCs w:val="24"/>
        </w:rPr>
        <w:t xml:space="preserve">prevention </w:t>
      </w:r>
      <w:r>
        <w:rPr>
          <w:rFonts w:asciiTheme="minorHAnsi" w:eastAsia="Times New Roman" w:hAnsiTheme="minorHAnsi" w:cs="Times New Roman"/>
          <w:color w:val="333333"/>
          <w:sz w:val="24"/>
          <w:szCs w:val="24"/>
        </w:rPr>
        <w:t xml:space="preserve">services in response to the opioid crisis. </w:t>
      </w:r>
      <w:r w:rsidR="00545F1E">
        <w:rPr>
          <w:rFonts w:asciiTheme="minorHAnsi" w:eastAsia="Times New Roman" w:hAnsiTheme="minorHAnsi" w:cs="Times New Roman"/>
          <w:color w:val="333333"/>
          <w:sz w:val="24"/>
          <w:szCs w:val="24"/>
        </w:rPr>
        <w:t xml:space="preserve">Through funding received through ND DHS and HRSA we have distributed Narcan, provided much education and awareness, hired peer support specialists, and have developed plans and are currently taking applications for our local Recovery House. Along with these services and many other harm reduction and support services currently offered in Barnes County, we have developed </w:t>
      </w:r>
      <w:r w:rsidR="00876EF3">
        <w:rPr>
          <w:rFonts w:asciiTheme="minorHAnsi" w:eastAsia="Times New Roman" w:hAnsiTheme="minorHAnsi" w:cs="Times New Roman"/>
          <w:color w:val="333333"/>
          <w:sz w:val="24"/>
          <w:szCs w:val="24"/>
        </w:rPr>
        <w:t>a strong Harm Reduction Program</w:t>
      </w:r>
      <w:r w:rsidR="00545F1E">
        <w:rPr>
          <w:rFonts w:asciiTheme="minorHAnsi" w:eastAsia="Times New Roman" w:hAnsiTheme="minorHAnsi" w:cs="Times New Roman"/>
          <w:color w:val="333333"/>
          <w:sz w:val="24"/>
          <w:szCs w:val="24"/>
        </w:rPr>
        <w:t xml:space="preserve">, meeting individuals who inject drugs, where they are at, often being the only positive support that these individuals have. </w:t>
      </w:r>
    </w:p>
    <w:p w14:paraId="00450473" w14:textId="77777777" w:rsidR="00545F1E" w:rsidRDefault="00545F1E" w:rsidP="00B17760">
      <w:pPr>
        <w:widowControl/>
        <w:autoSpaceDE/>
        <w:autoSpaceDN/>
        <w:rPr>
          <w:rFonts w:asciiTheme="minorHAnsi" w:eastAsia="Times New Roman" w:hAnsiTheme="minorHAnsi" w:cs="Times New Roman"/>
          <w:color w:val="333333"/>
          <w:sz w:val="24"/>
          <w:szCs w:val="24"/>
        </w:rPr>
      </w:pPr>
    </w:p>
    <w:p w14:paraId="0B6993BD" w14:textId="29A46C9F" w:rsidR="00545F1E" w:rsidRDefault="00545F1E" w:rsidP="00B17760">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We intend to use the Subdivision Opioid Settlement funds to </w:t>
      </w:r>
      <w:r w:rsidR="00876EF3">
        <w:rPr>
          <w:rFonts w:asciiTheme="minorHAnsi" w:eastAsia="Times New Roman" w:hAnsiTheme="minorHAnsi" w:cs="Times New Roman"/>
          <w:color w:val="333333"/>
          <w:sz w:val="24"/>
          <w:szCs w:val="24"/>
        </w:rPr>
        <w:t>further develop and maintain a strong harm reduction program:</w:t>
      </w:r>
    </w:p>
    <w:p w14:paraId="66CC3771" w14:textId="77777777" w:rsidR="00876EF3" w:rsidRDefault="00876EF3" w:rsidP="00876EF3">
      <w:pPr>
        <w:widowControl/>
        <w:autoSpaceDE/>
        <w:autoSpaceDN/>
        <w:rPr>
          <w:rFonts w:asciiTheme="minorHAnsi" w:eastAsia="Times New Roman" w:hAnsiTheme="minorHAnsi" w:cs="Times New Roman"/>
          <w:color w:val="333333"/>
          <w:sz w:val="24"/>
          <w:szCs w:val="24"/>
        </w:rPr>
      </w:pPr>
    </w:p>
    <w:p w14:paraId="127B1050" w14:textId="5F80AF26" w:rsidR="00876EF3" w:rsidRPr="00876EF3" w:rsidRDefault="00876EF3" w:rsidP="00876EF3">
      <w:pPr>
        <w:pStyle w:val="ListParagraph"/>
        <w:widowControl/>
        <w:numPr>
          <w:ilvl w:val="0"/>
          <w:numId w:val="3"/>
        </w:numPr>
        <w:autoSpaceDE/>
        <w:autoSpaceDN/>
        <w:rPr>
          <w:rFonts w:asciiTheme="minorHAnsi" w:eastAsia="Times New Roman" w:hAnsiTheme="minorHAnsi" w:cs="Times New Roman"/>
          <w:color w:val="333333"/>
          <w:sz w:val="24"/>
          <w:szCs w:val="24"/>
        </w:rPr>
      </w:pPr>
      <w:r w:rsidRPr="00876EF3">
        <w:rPr>
          <w:rFonts w:asciiTheme="minorHAnsi" w:eastAsia="Times New Roman" w:hAnsiTheme="minorHAnsi" w:cs="Times New Roman"/>
          <w:color w:val="333333"/>
          <w:sz w:val="24"/>
          <w:szCs w:val="24"/>
        </w:rPr>
        <w:t xml:space="preserve">Offer harm reduction supplies including syringes, safer use supplies, wound care supplies, naloxone, fentanyl testing strips, sharps container and safer sex supplies. </w:t>
      </w:r>
    </w:p>
    <w:p w14:paraId="59D803F1" w14:textId="39BC1EEA" w:rsidR="00876EF3" w:rsidRPr="00876EF3" w:rsidRDefault="00876EF3" w:rsidP="00876EF3">
      <w:pPr>
        <w:pStyle w:val="ListParagraph"/>
        <w:widowControl/>
        <w:numPr>
          <w:ilvl w:val="0"/>
          <w:numId w:val="3"/>
        </w:numPr>
        <w:autoSpaceDE/>
        <w:autoSpaceDN/>
        <w:rPr>
          <w:rFonts w:asciiTheme="minorHAnsi" w:eastAsia="Times New Roman" w:hAnsiTheme="minorHAnsi" w:cs="Times New Roman"/>
          <w:color w:val="333333"/>
          <w:sz w:val="24"/>
          <w:szCs w:val="24"/>
        </w:rPr>
      </w:pPr>
      <w:r w:rsidRPr="00876EF3">
        <w:rPr>
          <w:rFonts w:asciiTheme="minorHAnsi" w:eastAsia="Times New Roman" w:hAnsiTheme="minorHAnsi" w:cs="Times New Roman"/>
          <w:color w:val="333333"/>
          <w:sz w:val="24"/>
          <w:szCs w:val="24"/>
        </w:rPr>
        <w:t xml:space="preserve">Provide services, education and training including safer injection education, overdose response training, naloxone training, safer sex education, education on HIV/Hepatitis C/STI’s, rapid HIV and Hepatitis C testing, immunizations, and sharps disposal. </w:t>
      </w:r>
    </w:p>
    <w:p w14:paraId="2D56B29B" w14:textId="08F390EB" w:rsidR="00876EF3" w:rsidRPr="00876EF3" w:rsidRDefault="00876EF3" w:rsidP="00876EF3">
      <w:pPr>
        <w:pStyle w:val="ListParagraph"/>
        <w:widowControl/>
        <w:numPr>
          <w:ilvl w:val="0"/>
          <w:numId w:val="3"/>
        </w:numPr>
        <w:autoSpaceDE/>
        <w:autoSpaceDN/>
        <w:rPr>
          <w:rFonts w:asciiTheme="minorHAnsi" w:eastAsia="Times New Roman" w:hAnsiTheme="minorHAnsi" w:cs="Times New Roman"/>
          <w:color w:val="333333"/>
          <w:sz w:val="24"/>
          <w:szCs w:val="24"/>
        </w:rPr>
      </w:pPr>
      <w:r w:rsidRPr="00876EF3">
        <w:rPr>
          <w:rFonts w:asciiTheme="minorHAnsi" w:eastAsia="Times New Roman" w:hAnsiTheme="minorHAnsi" w:cs="Times New Roman"/>
          <w:color w:val="333333"/>
          <w:sz w:val="24"/>
          <w:szCs w:val="24"/>
        </w:rPr>
        <w:t>Provide referrals to treatment, healthcare, behavioral health, housing, employment, and social services.</w:t>
      </w:r>
    </w:p>
    <w:p w14:paraId="617FF2E7" w14:textId="7E99C8CC" w:rsidR="00876EF3" w:rsidRDefault="00876EF3" w:rsidP="00876EF3">
      <w:pPr>
        <w:pStyle w:val="ListParagraph"/>
        <w:widowControl/>
        <w:numPr>
          <w:ilvl w:val="0"/>
          <w:numId w:val="3"/>
        </w:numPr>
        <w:autoSpaceDE/>
        <w:autoSpaceDN/>
        <w:rPr>
          <w:rFonts w:asciiTheme="minorHAnsi" w:eastAsia="Times New Roman" w:hAnsiTheme="minorHAnsi" w:cs="Times New Roman"/>
          <w:color w:val="333333"/>
          <w:sz w:val="24"/>
          <w:szCs w:val="24"/>
        </w:rPr>
      </w:pPr>
      <w:r w:rsidRPr="00876EF3">
        <w:rPr>
          <w:rFonts w:asciiTheme="minorHAnsi" w:eastAsia="Times New Roman" w:hAnsiTheme="minorHAnsi" w:cs="Times New Roman"/>
          <w:color w:val="333333"/>
          <w:sz w:val="24"/>
          <w:szCs w:val="24"/>
        </w:rPr>
        <w:t xml:space="preserve">Explore and implement new and promising practices for harm reduction programming as funding allows. </w:t>
      </w:r>
    </w:p>
    <w:p w14:paraId="53374055" w14:textId="77777777" w:rsidR="00F863B6" w:rsidRDefault="00F863B6" w:rsidP="00F863B6">
      <w:pPr>
        <w:widowControl/>
        <w:autoSpaceDE/>
        <w:autoSpaceDN/>
        <w:rPr>
          <w:rFonts w:asciiTheme="minorHAnsi" w:eastAsia="Times New Roman" w:hAnsiTheme="minorHAnsi" w:cs="Times New Roman"/>
          <w:color w:val="333333"/>
          <w:sz w:val="24"/>
          <w:szCs w:val="24"/>
        </w:rPr>
      </w:pPr>
    </w:p>
    <w:p w14:paraId="25C2A686" w14:textId="6341063F" w:rsidR="00F863B6" w:rsidRDefault="00F863B6" w:rsidP="00F863B6">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The Barnes County Commission has transferred all settlement funds that have been received, to CCHD. The County Commission has always been made aware of the services that CCHD provides, so requested that we utilize the funding to expand the services that are already provided, as allowed in Exhibit E. </w:t>
      </w:r>
    </w:p>
    <w:p w14:paraId="2B40632A" w14:textId="77777777" w:rsidR="00F863B6" w:rsidRDefault="00F863B6" w:rsidP="00F863B6">
      <w:pPr>
        <w:widowControl/>
        <w:autoSpaceDE/>
        <w:autoSpaceDN/>
        <w:rPr>
          <w:rFonts w:asciiTheme="minorHAnsi" w:eastAsia="Times New Roman" w:hAnsiTheme="minorHAnsi" w:cs="Times New Roman"/>
          <w:color w:val="333333"/>
          <w:sz w:val="24"/>
          <w:szCs w:val="24"/>
        </w:rPr>
      </w:pPr>
    </w:p>
    <w:p w14:paraId="23CEA0C4" w14:textId="43692FF1" w:rsidR="00F863B6" w:rsidRDefault="00F863B6" w:rsidP="00F863B6">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Thank you, </w:t>
      </w:r>
    </w:p>
    <w:p w14:paraId="745B2C35" w14:textId="62FBB248" w:rsidR="00F863B6" w:rsidRDefault="00F863B6" w:rsidP="00F863B6">
      <w:pPr>
        <w:widowControl/>
        <w:autoSpaceDE/>
        <w:autoSpaceDN/>
        <w:rPr>
          <w:rFonts w:asciiTheme="minorHAnsi" w:eastAsia="Times New Roman" w:hAnsiTheme="minorHAnsi" w:cs="Times New Roman"/>
          <w:color w:val="333333"/>
          <w:sz w:val="24"/>
          <w:szCs w:val="24"/>
        </w:rPr>
      </w:pPr>
      <w:r>
        <w:rPr>
          <w:noProof/>
        </w:rPr>
        <w:drawing>
          <wp:inline distT="0" distB="0" distL="0" distR="0" wp14:anchorId="26A78311" wp14:editId="356112A2">
            <wp:extent cx="1960197" cy="301083"/>
            <wp:effectExtent l="0" t="0" r="2540" b="3810"/>
            <wp:docPr id="61538094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80948" name="Picture 1" descr="Diagram&#10;&#10;Description automatically generated"/>
                    <pic:cNvPicPr>
                      <a:picLocks noChangeAspect="1" noChangeArrowheads="1"/>
                    </pic:cNvPicPr>
                  </pic:nvPicPr>
                  <pic:blipFill>
                    <a:blip r:embed="rId7" cstate="print">
                      <a:lum contrast="48000"/>
                      <a:extLst>
                        <a:ext uri="{28A0092B-C50C-407E-A947-70E740481C1C}">
                          <a14:useLocalDpi xmlns:a14="http://schemas.microsoft.com/office/drawing/2010/main" val="0"/>
                        </a:ext>
                      </a:extLst>
                    </a:blip>
                    <a:srcRect/>
                    <a:stretch>
                      <a:fillRect/>
                    </a:stretch>
                  </pic:blipFill>
                  <pic:spPr bwMode="auto">
                    <a:xfrm>
                      <a:off x="0" y="0"/>
                      <a:ext cx="1989848" cy="305637"/>
                    </a:xfrm>
                    <a:prstGeom prst="rect">
                      <a:avLst/>
                    </a:prstGeom>
                    <a:noFill/>
                    <a:ln>
                      <a:noFill/>
                    </a:ln>
                  </pic:spPr>
                </pic:pic>
              </a:graphicData>
            </a:graphic>
          </wp:inline>
        </w:drawing>
      </w:r>
    </w:p>
    <w:p w14:paraId="0A1ECF73" w14:textId="77777777" w:rsidR="00F863B6" w:rsidRDefault="00F863B6" w:rsidP="00F863B6">
      <w:pPr>
        <w:widowControl/>
        <w:autoSpaceDE/>
        <w:autoSpaceDN/>
        <w:rPr>
          <w:rFonts w:asciiTheme="minorHAnsi" w:eastAsia="Times New Roman" w:hAnsiTheme="minorHAnsi" w:cs="Times New Roman"/>
          <w:color w:val="333333"/>
          <w:sz w:val="24"/>
          <w:szCs w:val="24"/>
        </w:rPr>
      </w:pPr>
    </w:p>
    <w:p w14:paraId="06156494" w14:textId="4C2E18AB" w:rsidR="00F863B6" w:rsidRPr="00F863B6" w:rsidRDefault="00F863B6" w:rsidP="00F863B6">
      <w:pPr>
        <w:widowControl/>
        <w:autoSpaceDE/>
        <w:autoSpaceDN/>
        <w:rPr>
          <w:rFonts w:asciiTheme="minorHAnsi" w:eastAsia="Times New Roman" w:hAnsiTheme="minorHAnsi" w:cs="Times New Roman"/>
          <w:color w:val="333333"/>
          <w:sz w:val="24"/>
          <w:szCs w:val="24"/>
        </w:rPr>
      </w:pPr>
      <w:r>
        <w:rPr>
          <w:rFonts w:asciiTheme="minorHAnsi" w:eastAsia="Times New Roman" w:hAnsiTheme="minorHAnsi" w:cs="Times New Roman"/>
          <w:color w:val="333333"/>
          <w:sz w:val="24"/>
          <w:szCs w:val="24"/>
        </w:rPr>
        <w:t xml:space="preserve">Theresa Will, RN, MPH, Administrator </w:t>
      </w:r>
    </w:p>
    <w:p w14:paraId="4D549ADD" w14:textId="1F35D0C1" w:rsidR="00876EF3" w:rsidRDefault="00876EF3" w:rsidP="00876EF3">
      <w:pPr>
        <w:pStyle w:val="Default"/>
        <w:ind w:firstLine="720"/>
      </w:pPr>
    </w:p>
    <w:p w14:paraId="0980784D" w14:textId="2093E735" w:rsidR="001528ED" w:rsidRDefault="001528ED" w:rsidP="00B17760">
      <w:pPr>
        <w:widowControl/>
        <w:autoSpaceDE/>
        <w:autoSpaceDN/>
        <w:rPr>
          <w:rFonts w:asciiTheme="minorHAnsi" w:eastAsia="Times New Roman" w:hAnsiTheme="minorHAnsi" w:cs="Times New Roman"/>
          <w:color w:val="333333"/>
          <w:sz w:val="24"/>
          <w:szCs w:val="24"/>
        </w:rPr>
      </w:pPr>
    </w:p>
    <w:p w14:paraId="6519AFCC" w14:textId="257A1342" w:rsidR="001528ED" w:rsidRDefault="001528ED" w:rsidP="00B17760">
      <w:pPr>
        <w:widowControl/>
        <w:autoSpaceDE/>
        <w:autoSpaceDN/>
        <w:rPr>
          <w:rFonts w:asciiTheme="minorHAnsi" w:eastAsia="Times New Roman" w:hAnsiTheme="minorHAnsi" w:cs="Times New Roman"/>
          <w:color w:val="333333"/>
          <w:sz w:val="24"/>
          <w:szCs w:val="24"/>
        </w:rPr>
      </w:pPr>
    </w:p>
    <w:p w14:paraId="57417EE7" w14:textId="06AE390A" w:rsidR="001528ED" w:rsidRDefault="001528ED" w:rsidP="00B17760">
      <w:pPr>
        <w:widowControl/>
        <w:autoSpaceDE/>
        <w:autoSpaceDN/>
        <w:rPr>
          <w:rFonts w:asciiTheme="minorHAnsi" w:eastAsia="Times New Roman" w:hAnsiTheme="minorHAnsi" w:cs="Times New Roman"/>
          <w:color w:val="333333"/>
          <w:sz w:val="24"/>
          <w:szCs w:val="24"/>
        </w:rPr>
      </w:pPr>
    </w:p>
    <w:sectPr w:rsidR="001528ED" w:rsidSect="00B17760">
      <w:type w:val="continuous"/>
      <w:pgSz w:w="12240" w:h="15840" w:code="1"/>
      <w:pgMar w:top="734"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A63"/>
    <w:multiLevelType w:val="hybridMultilevel"/>
    <w:tmpl w:val="628C2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C04B2"/>
    <w:multiLevelType w:val="hybridMultilevel"/>
    <w:tmpl w:val="7B1C818E"/>
    <w:lvl w:ilvl="0" w:tplc="C34E27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59BC518F"/>
    <w:multiLevelType w:val="hybridMultilevel"/>
    <w:tmpl w:val="44B2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317359">
    <w:abstractNumId w:val="1"/>
  </w:num>
  <w:num w:numId="2" w16cid:durableId="1033774532">
    <w:abstractNumId w:val="0"/>
  </w:num>
  <w:num w:numId="3" w16cid:durableId="2104957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91"/>
    <w:rsid w:val="000126B2"/>
    <w:rsid w:val="001528ED"/>
    <w:rsid w:val="001570F2"/>
    <w:rsid w:val="00282922"/>
    <w:rsid w:val="002C6FE3"/>
    <w:rsid w:val="00333430"/>
    <w:rsid w:val="00407562"/>
    <w:rsid w:val="00543793"/>
    <w:rsid w:val="00545580"/>
    <w:rsid w:val="00545F1E"/>
    <w:rsid w:val="006B1A51"/>
    <w:rsid w:val="00842288"/>
    <w:rsid w:val="00876EF3"/>
    <w:rsid w:val="00931F1B"/>
    <w:rsid w:val="009574B0"/>
    <w:rsid w:val="00973191"/>
    <w:rsid w:val="009B05FC"/>
    <w:rsid w:val="009B5B04"/>
    <w:rsid w:val="00A534E8"/>
    <w:rsid w:val="00AE74CC"/>
    <w:rsid w:val="00B17760"/>
    <w:rsid w:val="00BA06D9"/>
    <w:rsid w:val="00F8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CD4F"/>
  <w15:docId w15:val="{76CF8843-E99B-49E3-A9B1-7EF99E60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rFonts w:ascii="Helvetica" w:eastAsia="Helvetica" w:hAnsi="Helvetica" w:cs="Helvetic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53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922"/>
    <w:rPr>
      <w:color w:val="0000FF" w:themeColor="hyperlink"/>
      <w:u w:val="single"/>
    </w:rPr>
  </w:style>
  <w:style w:type="character" w:customStyle="1" w:styleId="UnresolvedMention1">
    <w:name w:val="Unresolved Mention1"/>
    <w:basedOn w:val="DefaultParagraphFont"/>
    <w:uiPriority w:val="99"/>
    <w:semiHidden/>
    <w:unhideWhenUsed/>
    <w:rsid w:val="00282922"/>
    <w:rPr>
      <w:color w:val="808080"/>
      <w:shd w:val="clear" w:color="auto" w:fill="E6E6E6"/>
    </w:rPr>
  </w:style>
  <w:style w:type="paragraph" w:styleId="BalloonText">
    <w:name w:val="Balloon Text"/>
    <w:basedOn w:val="Normal"/>
    <w:link w:val="BalloonTextChar"/>
    <w:uiPriority w:val="99"/>
    <w:semiHidden/>
    <w:unhideWhenUsed/>
    <w:rsid w:val="00282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22"/>
    <w:rPr>
      <w:rFonts w:ascii="Segoe UI" w:eastAsia="Arial" w:hAnsi="Segoe UI" w:cs="Segoe UI"/>
      <w:sz w:val="18"/>
      <w:szCs w:val="18"/>
    </w:rPr>
  </w:style>
  <w:style w:type="paragraph" w:customStyle="1" w:styleId="Default">
    <w:name w:val="Default"/>
    <w:rsid w:val="00876EF3"/>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countyhealth.org/"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letterhead_official_CCHD_template copy copy</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letterhead_official_CCHD_template copy copy</dc:title>
  <dc:creator>Angie Martin</dc:creator>
  <cp:lastModifiedBy>Lies, Amy</cp:lastModifiedBy>
  <cp:revision>2</cp:revision>
  <cp:lastPrinted>2021-03-19T14:36:00Z</cp:lastPrinted>
  <dcterms:created xsi:type="dcterms:W3CDTF">2023-10-20T17:01:00Z</dcterms:created>
  <dcterms:modified xsi:type="dcterms:W3CDTF">2023-10-20T17:01:00Z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Adobe Illustrator CC 2017 (Windows)</vt:lpwstr>
  </property>
  <property fmtid="{D5CDD505-2E9C-101B-9397-08002B2CF9AE}" pid="4" name="LastSaved">
    <vt:filetime>2017-08-29T00:00:00Z</vt:filetime>
  </property>
</Properties>
</file>